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783E2" w14:textId="7A9DB27D" w:rsidR="00577F1F" w:rsidRDefault="00EE3EE4">
      <w:pPr>
        <w:pStyle w:val="Title"/>
        <w:jc w:val="center"/>
      </w:pPr>
      <w:r>
        <w:t xml:space="preserve"> </w:t>
      </w:r>
      <w:r>
        <w:rPr>
          <w:noProof/>
        </w:rPr>
        <w:drawing>
          <wp:inline distT="0" distB="0" distL="0" distR="0" wp14:anchorId="4EE0856B" wp14:editId="166B43E6">
            <wp:extent cx="1199515" cy="11995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1199515" cy="1199515"/>
                    </a:xfrm>
                    <a:prstGeom prst="rect">
                      <a:avLst/>
                    </a:prstGeom>
                  </pic:spPr>
                </pic:pic>
              </a:graphicData>
            </a:graphic>
          </wp:inline>
        </w:drawing>
      </w:r>
    </w:p>
    <w:p w14:paraId="26DB6F03" w14:textId="0ED54C5D" w:rsidR="00577F1F" w:rsidRDefault="00EE3EE4">
      <w:pPr>
        <w:pStyle w:val="Title"/>
        <w:rPr>
          <w:sz w:val="48"/>
          <w:szCs w:val="48"/>
        </w:rPr>
      </w:pPr>
      <w:r w:rsidRPr="00A5321C">
        <w:rPr>
          <w:sz w:val="48"/>
          <w:szCs w:val="48"/>
        </w:rPr>
        <w:t>Self</w:t>
      </w:r>
      <w:r>
        <w:rPr>
          <w:sz w:val="48"/>
          <w:szCs w:val="48"/>
        </w:rPr>
        <w:t>-</w:t>
      </w:r>
      <w:r w:rsidRPr="00A5321C">
        <w:rPr>
          <w:sz w:val="48"/>
          <w:szCs w:val="48"/>
        </w:rPr>
        <w:t>Assessment</w:t>
      </w:r>
      <w:r>
        <w:rPr>
          <w:sz w:val="48"/>
          <w:szCs w:val="48"/>
        </w:rPr>
        <w:t xml:space="preserve">; based on the 2014 Coding Certificate Competencies </w:t>
      </w:r>
    </w:p>
    <w:p w14:paraId="4B3E8DDF" w14:textId="77777777" w:rsidR="00577F1F" w:rsidRDefault="00EE3EE4">
      <w:pPr>
        <w:pStyle w:val="Title"/>
        <w:rPr>
          <w:sz w:val="48"/>
          <w:szCs w:val="48"/>
        </w:rPr>
      </w:pPr>
      <w:r>
        <w:rPr>
          <w:sz w:val="48"/>
          <w:szCs w:val="48"/>
        </w:rPr>
        <w:t>under the AHIMA Professional Certificate Approval Program (PCAP)</w:t>
      </w:r>
    </w:p>
    <w:p w14:paraId="39D57E4D" w14:textId="7E5A869C" w:rsidR="00577F1F" w:rsidRDefault="00EE3EE4">
      <w:pPr>
        <w:rPr>
          <w:b/>
          <w:i/>
        </w:rPr>
      </w:pPr>
      <w:r>
        <w:rPr>
          <w:b/>
          <w:i/>
        </w:rPr>
        <w:t xml:space="preserve">This document includes </w:t>
      </w:r>
      <w:r>
        <w:rPr>
          <w:b/>
          <w:color w:val="FF0000"/>
          <w:u w:val="single"/>
        </w:rPr>
        <w:t>one example</w:t>
      </w:r>
      <w:r>
        <w:rPr>
          <w:b/>
          <w:i/>
        </w:rPr>
        <w:t xml:space="preserve"> of how to assess a single student learning outcome (curricula competency) in each domain covered under the 2014 PCAP Coding Certificate Competencies. Every program should insert additional rows into this document, add the remaining 2014 PCAP Coding Certificate Competencies, and then conduct a full assessment to outline how each student learning outcome is achieved for the entire set of curricula competencies in your medical coding certificate program. When completing this document, each program should have at least one example for every student learning outcome within the relevant domains. The goal of this Self-Assessment is to promote alignment, reduce redundancy across courses and ensure content is being addressed at the appropriate Bloom’s Taxonomy level.</w:t>
      </w:r>
    </w:p>
    <w:p w14:paraId="4E5B2517" w14:textId="77777777" w:rsidR="00577F1F" w:rsidRDefault="00EE3EE4">
      <w:pPr>
        <w:pStyle w:val="Heading2"/>
        <w:jc w:val="center"/>
      </w:pPr>
      <w:r>
        <w:t>Glossary of Terms</w:t>
      </w:r>
    </w:p>
    <w:p w14:paraId="19AACA62" w14:textId="77777777" w:rsidR="00577F1F" w:rsidRDefault="00EE3EE4">
      <w:r>
        <w:rPr>
          <w:b/>
        </w:rPr>
        <w:t>Assessment Methods</w:t>
      </w:r>
      <w:r>
        <w:t xml:space="preserve">:  How is the program teaching that objective/Student Learning Outcome? How do you ensure the student is learning the concept (what kinds of tasks will reveal the students have achieved the learning outcome)? </w:t>
      </w:r>
    </w:p>
    <w:p w14:paraId="4822E213" w14:textId="0220A9D0" w:rsidR="00577F1F" w:rsidRPr="00CD6721" w:rsidRDefault="00EE3EE4" w:rsidP="00CD6721">
      <w:pPr>
        <w:rPr>
          <w:bCs/>
        </w:rPr>
      </w:pPr>
      <w:r>
        <w:rPr>
          <w:b/>
        </w:rPr>
        <w:t>Bloom’s Taxonomy:</w:t>
      </w:r>
      <w:r w:rsidRPr="00CD6721">
        <w:rPr>
          <w:b/>
        </w:rPr>
        <w:t xml:space="preserve"> </w:t>
      </w:r>
      <w:r w:rsidRPr="00CD6721">
        <w:rPr>
          <w:bCs/>
        </w:rPr>
        <w:t>Bloom’s Taxonomy levels are used to measure how well a student is expected to master a concept.  Bloom’s Taxonomy is a classification system that divides the way people learn into three domains: 1. cognitive (intellectual outcomes, mental skills), 2. affective (growth in feelings or emotional areas), and 3. psychomotor (manual or physical skills). Bloom’s cognitive domain serves as the measurement scale for the student learning outcomes included in the curricula.</w:t>
      </w:r>
    </w:p>
    <w:p w14:paraId="7D47CFE3" w14:textId="25FCA101" w:rsidR="00577F1F" w:rsidRDefault="00EE3EE4">
      <w:r>
        <w:rPr>
          <w:b/>
        </w:rPr>
        <w:t xml:space="preserve">Domain: </w:t>
      </w:r>
      <w:r>
        <w:t>A broad category with divisions (sub-domains) of related content. The Domains and subdomains specify the HIM body of knowledge and practice.</w:t>
      </w:r>
    </w:p>
    <w:p w14:paraId="46FF2143" w14:textId="3D3BC91A" w:rsidR="00577F1F" w:rsidRDefault="00EE3EE4">
      <w:r>
        <w:rPr>
          <w:b/>
        </w:rPr>
        <w:t>Objective:</w:t>
      </w:r>
      <w:r>
        <w:t xml:space="preserve"> What is the student going to learn? This must be written in measurable terms, quantitatively or qualitatively (rubric, number of correct, etc.)</w:t>
      </w:r>
      <w:r w:rsidR="005854A1">
        <w:t>.</w:t>
      </w:r>
    </w:p>
    <w:p w14:paraId="44ABF376" w14:textId="46DA3BFA" w:rsidR="00577F1F" w:rsidRDefault="00EE3EE4">
      <w:r>
        <w:rPr>
          <w:b/>
        </w:rPr>
        <w:t>Student Learning Outcome</w:t>
      </w:r>
      <w:r>
        <w:t>:  A behavior; what the learner will be able to do; a condition - how will the learner be able to do it. It should be measurable at a minimally acceptable standard and demonstrate how well the learner is able to do the task.</w:t>
      </w:r>
      <w:r>
        <w:rPr>
          <w:color w:val="000000" w:themeColor="text1"/>
          <w:kern w:val="2"/>
          <w:sz w:val="24"/>
          <w:szCs w:val="24"/>
        </w:rPr>
        <w:t xml:space="preserve"> </w:t>
      </w:r>
      <w:r>
        <w:t xml:space="preserve">Measurement of success is through assessment of achievement of the stated student learning outcome. Additional resources on aligning student learning outcomes and objectives can be found at: </w:t>
      </w:r>
      <w:hyperlink r:id="rId11">
        <w:r>
          <w:rPr>
            <w:rStyle w:val="InternetLink"/>
            <w:rFonts w:ascii="Arial" w:hAnsi="Arial" w:cs="Arial"/>
            <w:sz w:val="20"/>
            <w:szCs w:val="20"/>
          </w:rPr>
          <w:t>http://www.cmu.edu/teaching/assessment/howto/basics/objectives.html</w:t>
        </w:r>
      </w:hyperlink>
    </w:p>
    <w:p w14:paraId="13A7D3D5" w14:textId="163A9180" w:rsidR="00577F1F" w:rsidRDefault="00577F1F">
      <w:pPr>
        <w:pStyle w:val="Heading2"/>
        <w:jc w:val="center"/>
      </w:pPr>
    </w:p>
    <w:tbl>
      <w:tblPr>
        <w:tblStyle w:val="TableGrid"/>
        <w:tblW w:w="14903" w:type="dxa"/>
        <w:tblLook w:val="04A0" w:firstRow="1" w:lastRow="0" w:firstColumn="1" w:lastColumn="0" w:noHBand="0" w:noVBand="1"/>
      </w:tblPr>
      <w:tblGrid>
        <w:gridCol w:w="1418"/>
        <w:gridCol w:w="3047"/>
        <w:gridCol w:w="2679"/>
        <w:gridCol w:w="3044"/>
        <w:gridCol w:w="2188"/>
        <w:gridCol w:w="2527"/>
      </w:tblGrid>
      <w:tr w:rsidR="00577F1F" w14:paraId="5B1B02F9" w14:textId="77777777">
        <w:trPr>
          <w:tblHeader/>
        </w:trPr>
        <w:tc>
          <w:tcPr>
            <w:tcW w:w="14902" w:type="dxa"/>
            <w:gridSpan w:val="6"/>
            <w:shd w:val="clear" w:color="auto" w:fill="F2F2F2" w:themeFill="background1" w:themeFillShade="F2"/>
          </w:tcPr>
          <w:p w14:paraId="28763D51" w14:textId="77777777" w:rsidR="00577F1F" w:rsidRDefault="00EE3EE4" w:rsidP="00B94EE4">
            <w:pPr>
              <w:spacing w:after="0" w:line="240" w:lineRule="auto"/>
              <w:jc w:val="center"/>
              <w:rPr>
                <w:rFonts w:ascii="Cambria" w:hAnsi="Cambria"/>
                <w:b/>
                <w:bCs/>
                <w:color w:val="4F81BD" w:themeColor="accent1"/>
                <w:sz w:val="28"/>
                <w:szCs w:val="28"/>
              </w:rPr>
            </w:pPr>
            <w:r>
              <w:rPr>
                <w:rFonts w:ascii="Cambria" w:hAnsi="Cambria"/>
                <w:b/>
                <w:bCs/>
                <w:color w:val="4F81BD" w:themeColor="accent1"/>
                <w:sz w:val="28"/>
                <w:szCs w:val="28"/>
              </w:rPr>
              <w:t>Program Self-Assessment</w:t>
            </w:r>
          </w:p>
        </w:tc>
      </w:tr>
      <w:tr w:rsidR="00577F1F" w14:paraId="537BCABF" w14:textId="77777777">
        <w:trPr>
          <w:tblHeader/>
        </w:trPr>
        <w:tc>
          <w:tcPr>
            <w:tcW w:w="1417" w:type="dxa"/>
            <w:shd w:val="clear" w:color="auto" w:fill="F2F2F2" w:themeFill="background1" w:themeFillShade="F2"/>
          </w:tcPr>
          <w:p w14:paraId="364DED4A" w14:textId="77777777" w:rsidR="00577F1F" w:rsidRDefault="00EE3EE4">
            <w:pPr>
              <w:spacing w:after="0" w:line="240" w:lineRule="auto"/>
              <w:rPr>
                <w:b/>
                <w:bCs/>
              </w:rPr>
            </w:pPr>
            <w:r>
              <w:rPr>
                <w:b/>
                <w:bCs/>
              </w:rPr>
              <w:t xml:space="preserve">2014 </w:t>
            </w:r>
            <w:r w:rsidRPr="00B94EE4">
              <w:rPr>
                <w:b/>
                <w:bCs/>
              </w:rPr>
              <w:t>Domain</w:t>
            </w:r>
            <w:r>
              <w:rPr>
                <w:b/>
                <w:bCs/>
              </w:rPr>
              <w:t>s</w:t>
            </w:r>
          </w:p>
          <w:p w14:paraId="6694F9C3" w14:textId="77777777" w:rsidR="00577F1F" w:rsidRDefault="00577F1F">
            <w:pPr>
              <w:spacing w:after="0" w:line="240" w:lineRule="auto"/>
            </w:pPr>
          </w:p>
        </w:tc>
        <w:tc>
          <w:tcPr>
            <w:tcW w:w="3047" w:type="dxa"/>
            <w:shd w:val="clear" w:color="auto" w:fill="F2F2F2" w:themeFill="background1" w:themeFillShade="F2"/>
          </w:tcPr>
          <w:p w14:paraId="0677A96C" w14:textId="2AD04F27" w:rsidR="00577F1F" w:rsidRDefault="00EE3EE4">
            <w:pPr>
              <w:spacing w:after="0" w:line="240" w:lineRule="auto"/>
            </w:pPr>
            <w:r w:rsidRPr="00B94EE4">
              <w:rPr>
                <w:b/>
                <w:bCs/>
              </w:rPr>
              <w:t>Student Learning Outcome</w:t>
            </w:r>
            <w:r>
              <w:rPr>
                <w:b/>
                <w:bCs/>
              </w:rPr>
              <w:t xml:space="preserve"> example </w:t>
            </w:r>
            <w:r w:rsidRPr="00B94EE4">
              <w:rPr>
                <w:sz w:val="20"/>
                <w:szCs w:val="20"/>
              </w:rPr>
              <w:t>(</w:t>
            </w:r>
            <w:r>
              <w:rPr>
                <w:sz w:val="20"/>
                <w:szCs w:val="20"/>
              </w:rPr>
              <w:t xml:space="preserve">the desired </w:t>
            </w:r>
            <w:r w:rsidRPr="00B94EE4">
              <w:rPr>
                <w:sz w:val="20"/>
                <w:szCs w:val="20"/>
              </w:rPr>
              <w:t>Bloom’s Taxonomy</w:t>
            </w:r>
            <w:r>
              <w:rPr>
                <w:sz w:val="20"/>
                <w:szCs w:val="20"/>
              </w:rPr>
              <w:t xml:space="preserve"> </w:t>
            </w:r>
            <w:r w:rsidRPr="00B94EE4">
              <w:rPr>
                <w:sz w:val="20"/>
                <w:szCs w:val="20"/>
              </w:rPr>
              <w:t xml:space="preserve">Level </w:t>
            </w:r>
            <w:r>
              <w:rPr>
                <w:sz w:val="20"/>
                <w:szCs w:val="20"/>
              </w:rPr>
              <w:t xml:space="preserve">is listed in parentheses </w:t>
            </w:r>
            <w:r w:rsidRPr="00B94EE4">
              <w:rPr>
                <w:sz w:val="20"/>
                <w:szCs w:val="20"/>
              </w:rPr>
              <w:t>follow</w:t>
            </w:r>
            <w:r>
              <w:rPr>
                <w:sz w:val="20"/>
                <w:szCs w:val="20"/>
              </w:rPr>
              <w:t>ing</w:t>
            </w:r>
            <w:r w:rsidRPr="00B94EE4">
              <w:rPr>
                <w:sz w:val="20"/>
                <w:szCs w:val="20"/>
              </w:rPr>
              <w:t xml:space="preserve"> the student learning outcome)</w:t>
            </w:r>
          </w:p>
        </w:tc>
        <w:tc>
          <w:tcPr>
            <w:tcW w:w="2679" w:type="dxa"/>
            <w:shd w:val="clear" w:color="auto" w:fill="F2F2F2" w:themeFill="background1" w:themeFillShade="F2"/>
          </w:tcPr>
          <w:p w14:paraId="37AB3906" w14:textId="77777777" w:rsidR="00577F1F" w:rsidRDefault="00EE3EE4">
            <w:pPr>
              <w:spacing w:after="0" w:line="240" w:lineRule="auto"/>
              <w:rPr>
                <w:b/>
                <w:bCs/>
              </w:rPr>
            </w:pPr>
            <w:r w:rsidRPr="00B94EE4">
              <w:rPr>
                <w:b/>
                <w:bCs/>
              </w:rPr>
              <w:t>Objectives:</w:t>
            </w:r>
          </w:p>
          <w:p w14:paraId="3EB77C23" w14:textId="77777777" w:rsidR="00577F1F" w:rsidRDefault="00577F1F">
            <w:pPr>
              <w:spacing w:after="0" w:line="240" w:lineRule="auto"/>
            </w:pPr>
          </w:p>
        </w:tc>
        <w:tc>
          <w:tcPr>
            <w:tcW w:w="3044" w:type="dxa"/>
            <w:shd w:val="clear" w:color="auto" w:fill="F2F2F2" w:themeFill="background1" w:themeFillShade="F2"/>
          </w:tcPr>
          <w:p w14:paraId="20222634" w14:textId="14794F95" w:rsidR="00577F1F" w:rsidRDefault="00EE3EE4">
            <w:pPr>
              <w:spacing w:after="0" w:line="240" w:lineRule="auto"/>
            </w:pPr>
            <w:r w:rsidRPr="00B94EE4">
              <w:rPr>
                <w:b/>
                <w:bCs/>
              </w:rPr>
              <w:t>Assessment Methods</w:t>
            </w:r>
            <w:r>
              <w:t xml:space="preserve"> (</w:t>
            </w:r>
            <w:r>
              <w:rPr>
                <w:i/>
              </w:rPr>
              <w:t>Are they Measurable</w:t>
            </w:r>
            <w:r>
              <w:t>)?</w:t>
            </w:r>
          </w:p>
          <w:p w14:paraId="59206A69" w14:textId="77777777" w:rsidR="00577F1F" w:rsidRDefault="00577F1F">
            <w:pPr>
              <w:spacing w:after="0" w:line="240" w:lineRule="auto"/>
            </w:pPr>
          </w:p>
        </w:tc>
        <w:tc>
          <w:tcPr>
            <w:tcW w:w="2188" w:type="dxa"/>
            <w:shd w:val="clear" w:color="auto" w:fill="F2F2F2" w:themeFill="background1" w:themeFillShade="F2"/>
          </w:tcPr>
          <w:p w14:paraId="4B9F2FF6" w14:textId="77777777" w:rsidR="00577F1F" w:rsidRDefault="00EE3EE4">
            <w:pPr>
              <w:spacing w:after="0" w:line="240" w:lineRule="auto"/>
            </w:pPr>
            <w:r>
              <w:t>Are Objectives in Syllabus/Course Numbers?</w:t>
            </w:r>
          </w:p>
        </w:tc>
        <w:tc>
          <w:tcPr>
            <w:tcW w:w="2527" w:type="dxa"/>
            <w:shd w:val="clear" w:color="auto" w:fill="F2F2F2" w:themeFill="background1" w:themeFillShade="F2"/>
          </w:tcPr>
          <w:p w14:paraId="34FFC6D6" w14:textId="77777777" w:rsidR="00577F1F" w:rsidRDefault="00EE3EE4">
            <w:pPr>
              <w:spacing w:after="0" w:line="240" w:lineRule="auto"/>
            </w:pPr>
            <w:r>
              <w:t xml:space="preserve">Notes </w:t>
            </w:r>
          </w:p>
        </w:tc>
      </w:tr>
      <w:tr w:rsidR="00577F1F" w14:paraId="348E75C2" w14:textId="77777777">
        <w:tc>
          <w:tcPr>
            <w:tcW w:w="1417" w:type="dxa"/>
            <w:shd w:val="clear" w:color="auto" w:fill="auto"/>
          </w:tcPr>
          <w:p w14:paraId="7E5DDB5C" w14:textId="77777777" w:rsidR="00577F1F" w:rsidRDefault="00EE3EE4">
            <w:pPr>
              <w:spacing w:after="0" w:line="240" w:lineRule="auto"/>
            </w:pPr>
            <w:r>
              <w:t>I. Data Content, Structure &amp; Standards (Information Governance)</w:t>
            </w:r>
          </w:p>
        </w:tc>
        <w:tc>
          <w:tcPr>
            <w:tcW w:w="3047" w:type="dxa"/>
            <w:shd w:val="clear" w:color="auto" w:fill="auto"/>
          </w:tcPr>
          <w:p w14:paraId="71B55147" w14:textId="727C87CB" w:rsidR="00577F1F" w:rsidRDefault="00EE3EE4">
            <w:pPr>
              <w:spacing w:after="0" w:line="240" w:lineRule="auto"/>
            </w:pPr>
            <w:r>
              <w:t>I.A 2 Evaluate the accuracy of diagnostic and procedural coding (5)</w:t>
            </w:r>
          </w:p>
        </w:tc>
        <w:tc>
          <w:tcPr>
            <w:tcW w:w="2679" w:type="dxa"/>
            <w:shd w:val="clear" w:color="auto" w:fill="auto"/>
          </w:tcPr>
          <w:p w14:paraId="53FC108B" w14:textId="77777777" w:rsidR="00577F1F" w:rsidRDefault="00EE3EE4">
            <w:pPr>
              <w:spacing w:after="0" w:line="240" w:lineRule="auto"/>
            </w:pPr>
            <w:r>
              <w:t xml:space="preserve">Student will be able to audit assigned ICD and/or CPT codes and determine if coding is accurate and how it will positively or negatively impact data reporting. </w:t>
            </w:r>
          </w:p>
        </w:tc>
        <w:tc>
          <w:tcPr>
            <w:tcW w:w="3044" w:type="dxa"/>
            <w:shd w:val="clear" w:color="auto" w:fill="auto"/>
          </w:tcPr>
          <w:p w14:paraId="0813992A" w14:textId="39D5C635" w:rsidR="00577F1F" w:rsidRDefault="00EE3EE4">
            <w:pPr>
              <w:pStyle w:val="ListParagraph"/>
              <w:numPr>
                <w:ilvl w:val="0"/>
                <w:numId w:val="1"/>
              </w:numPr>
              <w:spacing w:after="0" w:line="240" w:lineRule="auto"/>
              <w:ind w:left="236" w:hanging="180"/>
            </w:pPr>
            <w:r>
              <w:t xml:space="preserve">Student is given clinical information </w:t>
            </w:r>
            <w:r w:rsidR="0095678B" w:rsidRPr="000007FC">
              <w:t xml:space="preserve">for which an incorrect set of codes have been </w:t>
            </w:r>
            <w:r w:rsidR="0095678B" w:rsidRPr="00B94EE4">
              <w:t>assigned.</w:t>
            </w:r>
            <w:r w:rsidR="00D85865">
              <w:t xml:space="preserve"> </w:t>
            </w:r>
            <w:r>
              <w:t>Student will recommend corrections to the assigned codes at an 85% accuracy level</w:t>
            </w:r>
            <w:r w:rsidR="00D85865">
              <w:t>.</w:t>
            </w:r>
          </w:p>
          <w:p w14:paraId="72E78C9D" w14:textId="77777777" w:rsidR="00577F1F" w:rsidRDefault="00EE3EE4">
            <w:pPr>
              <w:pStyle w:val="ListParagraph"/>
              <w:numPr>
                <w:ilvl w:val="0"/>
                <w:numId w:val="1"/>
              </w:numPr>
              <w:spacing w:after="0" w:line="240" w:lineRule="auto"/>
              <w:ind w:left="236" w:hanging="180"/>
            </w:pPr>
            <w:r>
              <w:t xml:space="preserve">Require completion of quiz or submission of narrative assignment which illustrates why codes are incorrect, the correct codes, and the impact of reporting incorrect/invalid code set(s) with an accuracy of at least 85%.  </w:t>
            </w:r>
          </w:p>
        </w:tc>
        <w:tc>
          <w:tcPr>
            <w:tcW w:w="2188" w:type="dxa"/>
            <w:shd w:val="clear" w:color="auto" w:fill="auto"/>
          </w:tcPr>
          <w:p w14:paraId="380A5141" w14:textId="77777777" w:rsidR="00577F1F" w:rsidRDefault="00577F1F">
            <w:pPr>
              <w:spacing w:after="0" w:line="240" w:lineRule="auto"/>
            </w:pPr>
          </w:p>
        </w:tc>
        <w:tc>
          <w:tcPr>
            <w:tcW w:w="2527" w:type="dxa"/>
            <w:shd w:val="clear" w:color="auto" w:fill="auto"/>
          </w:tcPr>
          <w:p w14:paraId="2BB40772" w14:textId="3E4ADDC6" w:rsidR="00577F1F" w:rsidRDefault="00577F1F">
            <w:pPr>
              <w:spacing w:after="0" w:line="240" w:lineRule="auto"/>
              <w:rPr>
                <w:color w:val="DDE8CB"/>
              </w:rPr>
            </w:pPr>
          </w:p>
        </w:tc>
      </w:tr>
      <w:tr w:rsidR="00577F1F" w14:paraId="5C9FA36F" w14:textId="77777777">
        <w:tc>
          <w:tcPr>
            <w:tcW w:w="1417" w:type="dxa"/>
            <w:shd w:val="clear" w:color="auto" w:fill="auto"/>
          </w:tcPr>
          <w:p w14:paraId="5848690B" w14:textId="77777777" w:rsidR="00577F1F" w:rsidRDefault="00EE3EE4">
            <w:pPr>
              <w:spacing w:after="0" w:line="240" w:lineRule="auto"/>
            </w:pPr>
            <w:r>
              <w:t>II. Information Protection: Access, Disclosure, Archival, Privacy &amp; Security</w:t>
            </w:r>
          </w:p>
        </w:tc>
        <w:tc>
          <w:tcPr>
            <w:tcW w:w="3047" w:type="dxa"/>
            <w:shd w:val="clear" w:color="auto" w:fill="auto"/>
          </w:tcPr>
          <w:p w14:paraId="6CF2B577" w14:textId="77777777" w:rsidR="00577F1F" w:rsidRDefault="00EE3EE4">
            <w:pPr>
              <w:spacing w:after="0" w:line="240" w:lineRule="auto"/>
            </w:pPr>
            <w:r>
              <w:t>II.A.1 Apply healthcare legal terminology (3)</w:t>
            </w:r>
          </w:p>
        </w:tc>
        <w:tc>
          <w:tcPr>
            <w:tcW w:w="2679" w:type="dxa"/>
            <w:shd w:val="clear" w:color="auto" w:fill="auto"/>
          </w:tcPr>
          <w:p w14:paraId="36289AB4" w14:textId="77777777" w:rsidR="00577F1F" w:rsidRDefault="00EE3EE4">
            <w:pPr>
              <w:spacing w:after="0" w:line="240" w:lineRule="auto"/>
            </w:pPr>
            <w:r>
              <w:t xml:space="preserve">Student will be able to write a procedure for disclosure of Health Information for a court subpoena </w:t>
            </w:r>
          </w:p>
        </w:tc>
        <w:tc>
          <w:tcPr>
            <w:tcW w:w="3044" w:type="dxa"/>
            <w:shd w:val="clear" w:color="auto" w:fill="auto"/>
          </w:tcPr>
          <w:p w14:paraId="4EC3CAA0" w14:textId="592AC7B9" w:rsidR="00577F1F" w:rsidRPr="00B94EE4" w:rsidRDefault="00EE3EE4">
            <w:pPr>
              <w:pStyle w:val="ListParagraph"/>
              <w:numPr>
                <w:ilvl w:val="0"/>
                <w:numId w:val="1"/>
              </w:numPr>
              <w:spacing w:after="0" w:line="240" w:lineRule="auto"/>
              <w:ind w:left="236" w:hanging="180"/>
            </w:pPr>
            <w:r>
              <w:t>Using the legal terminology of the subpoena scenario</w:t>
            </w:r>
            <w:r w:rsidR="00B70CEC">
              <w:t>,</w:t>
            </w:r>
            <w:r>
              <w:t xml:space="preserve"> create a procedure for disclosure of a health record to be used in a court </w:t>
            </w:r>
            <w:r w:rsidRPr="00B94EE4">
              <w:t xml:space="preserve">proceeding </w:t>
            </w:r>
            <w:r w:rsidR="007316C8">
              <w:t>(</w:t>
            </w:r>
            <w:r w:rsidRPr="00B94EE4">
              <w:t xml:space="preserve">with </w:t>
            </w:r>
            <w:r w:rsidR="00624B12" w:rsidRPr="00D54381">
              <w:t>9</w:t>
            </w:r>
            <w:r w:rsidRPr="00B94EE4">
              <w:t>0% accuracy</w:t>
            </w:r>
            <w:r w:rsidR="007316C8">
              <w:t>)</w:t>
            </w:r>
            <w:r w:rsidRPr="00B94EE4">
              <w:t>.</w:t>
            </w:r>
          </w:p>
          <w:p w14:paraId="484130CB" w14:textId="612898F9" w:rsidR="00577F1F" w:rsidRDefault="00EE3EE4">
            <w:pPr>
              <w:pStyle w:val="ListParagraph"/>
              <w:numPr>
                <w:ilvl w:val="0"/>
                <w:numId w:val="1"/>
              </w:numPr>
              <w:spacing w:after="0" w:line="240" w:lineRule="auto"/>
              <w:ind w:left="236" w:hanging="180"/>
            </w:pPr>
            <w:r>
              <w:t>Review the process of another institution to determine accuracy</w:t>
            </w:r>
            <w:r w:rsidR="00E97B74">
              <w:t>.</w:t>
            </w:r>
          </w:p>
        </w:tc>
        <w:tc>
          <w:tcPr>
            <w:tcW w:w="2188" w:type="dxa"/>
            <w:shd w:val="clear" w:color="auto" w:fill="auto"/>
          </w:tcPr>
          <w:p w14:paraId="07F9BF54" w14:textId="77777777" w:rsidR="00577F1F" w:rsidRDefault="00577F1F">
            <w:pPr>
              <w:spacing w:after="0" w:line="240" w:lineRule="auto"/>
            </w:pPr>
          </w:p>
        </w:tc>
        <w:tc>
          <w:tcPr>
            <w:tcW w:w="2527" w:type="dxa"/>
            <w:shd w:val="clear" w:color="auto" w:fill="auto"/>
          </w:tcPr>
          <w:p w14:paraId="132DBC5B" w14:textId="77E6BA62" w:rsidR="00577F1F" w:rsidRDefault="00577F1F">
            <w:pPr>
              <w:spacing w:after="0" w:line="240" w:lineRule="auto"/>
              <w:rPr>
                <w:highlight w:val="yellow"/>
              </w:rPr>
            </w:pPr>
          </w:p>
        </w:tc>
      </w:tr>
    </w:tbl>
    <w:p w14:paraId="64FB5CCE" w14:textId="77777777" w:rsidR="00577F1F" w:rsidRDefault="00EE3EE4">
      <w:r>
        <w:br w:type="page"/>
      </w:r>
    </w:p>
    <w:tbl>
      <w:tblPr>
        <w:tblStyle w:val="TableGrid"/>
        <w:tblW w:w="14903" w:type="dxa"/>
        <w:tblLook w:val="04A0" w:firstRow="1" w:lastRow="0" w:firstColumn="1" w:lastColumn="0" w:noHBand="0" w:noVBand="1"/>
      </w:tblPr>
      <w:tblGrid>
        <w:gridCol w:w="1418"/>
        <w:gridCol w:w="3047"/>
        <w:gridCol w:w="2679"/>
        <w:gridCol w:w="3044"/>
        <w:gridCol w:w="2188"/>
        <w:gridCol w:w="2527"/>
      </w:tblGrid>
      <w:tr w:rsidR="00577F1F" w14:paraId="3059CEE5" w14:textId="77777777">
        <w:tc>
          <w:tcPr>
            <w:tcW w:w="1417" w:type="dxa"/>
            <w:shd w:val="clear" w:color="auto" w:fill="auto"/>
          </w:tcPr>
          <w:p w14:paraId="1A24335D" w14:textId="77777777" w:rsidR="00577F1F" w:rsidRDefault="00EE3EE4">
            <w:pPr>
              <w:pageBreakBefore/>
              <w:spacing w:after="0" w:line="240" w:lineRule="auto"/>
            </w:pPr>
            <w:r>
              <w:lastRenderedPageBreak/>
              <w:t>IV. Revenue Management</w:t>
            </w:r>
          </w:p>
        </w:tc>
        <w:tc>
          <w:tcPr>
            <w:tcW w:w="3047" w:type="dxa"/>
            <w:shd w:val="clear" w:color="auto" w:fill="auto"/>
          </w:tcPr>
          <w:p w14:paraId="79D3392B" w14:textId="77777777" w:rsidR="00577F1F" w:rsidRDefault="00EE3EE4">
            <w:pPr>
              <w:spacing w:after="0" w:line="240" w:lineRule="auto"/>
            </w:pPr>
            <w:r>
              <w:t>IV.A.1 Apply policies and procedures for the use of data required in healthcare reimbursement (3)</w:t>
            </w:r>
          </w:p>
        </w:tc>
        <w:tc>
          <w:tcPr>
            <w:tcW w:w="2679" w:type="dxa"/>
            <w:shd w:val="clear" w:color="auto" w:fill="auto"/>
          </w:tcPr>
          <w:p w14:paraId="37452447" w14:textId="77777777" w:rsidR="00577F1F" w:rsidRDefault="00EE3EE4">
            <w:pPr>
              <w:spacing w:after="0" w:line="240" w:lineRule="auto"/>
            </w:pPr>
            <w:r>
              <w:t>Student will be able to identify the payment methodologies used by various healthcare systems.</w:t>
            </w:r>
          </w:p>
        </w:tc>
        <w:tc>
          <w:tcPr>
            <w:tcW w:w="3044" w:type="dxa"/>
            <w:shd w:val="clear" w:color="auto" w:fill="auto"/>
          </w:tcPr>
          <w:p w14:paraId="728D82CB" w14:textId="77777777" w:rsidR="00577F1F" w:rsidRDefault="00EE3EE4">
            <w:pPr>
              <w:pStyle w:val="ListParagraph"/>
              <w:numPr>
                <w:ilvl w:val="0"/>
                <w:numId w:val="1"/>
              </w:numPr>
              <w:spacing w:after="0" w:line="240" w:lineRule="auto"/>
              <w:ind w:left="236" w:hanging="180"/>
            </w:pPr>
            <w:r>
              <w:t xml:space="preserve">Given a set of payment methodologies and a set of healthcare systems identify which payment methodology is used for each healthcare system  with 95% accuracy </w:t>
            </w:r>
          </w:p>
          <w:p w14:paraId="39DF9F21" w14:textId="50FE8B69" w:rsidR="00577F1F" w:rsidRDefault="00EE3EE4">
            <w:pPr>
              <w:pStyle w:val="ListParagraph"/>
              <w:numPr>
                <w:ilvl w:val="0"/>
                <w:numId w:val="1"/>
              </w:numPr>
              <w:spacing w:after="0" w:line="240" w:lineRule="auto"/>
              <w:ind w:left="236" w:hanging="180"/>
            </w:pPr>
            <w:r>
              <w:t xml:space="preserve">Create a table of payment systems and the rate method used for each </w:t>
            </w:r>
            <w:r w:rsidR="00D313D6">
              <w:t>(</w:t>
            </w:r>
            <w:r>
              <w:t xml:space="preserve">with </w:t>
            </w:r>
            <w:r w:rsidR="00D313D6" w:rsidRPr="00D54381">
              <w:t>90</w:t>
            </w:r>
            <w:r w:rsidRPr="00B94EE4">
              <w:t>% accuracy</w:t>
            </w:r>
            <w:r w:rsidR="00D313D6">
              <w:t>).</w:t>
            </w:r>
            <w:r w:rsidRPr="00B94EE4">
              <w:t xml:space="preserve"> </w:t>
            </w:r>
          </w:p>
        </w:tc>
        <w:tc>
          <w:tcPr>
            <w:tcW w:w="2188" w:type="dxa"/>
            <w:shd w:val="clear" w:color="auto" w:fill="auto"/>
          </w:tcPr>
          <w:p w14:paraId="52E898B8" w14:textId="77777777" w:rsidR="00577F1F" w:rsidRDefault="00577F1F">
            <w:pPr>
              <w:spacing w:after="0" w:line="240" w:lineRule="auto"/>
            </w:pPr>
          </w:p>
        </w:tc>
        <w:tc>
          <w:tcPr>
            <w:tcW w:w="2527" w:type="dxa"/>
            <w:shd w:val="clear" w:color="auto" w:fill="auto"/>
          </w:tcPr>
          <w:p w14:paraId="40379B9E" w14:textId="13A21514" w:rsidR="00577F1F" w:rsidRDefault="00577F1F">
            <w:pPr>
              <w:spacing w:after="0" w:line="240" w:lineRule="auto"/>
              <w:rPr>
                <w:highlight w:val="yellow"/>
              </w:rPr>
            </w:pPr>
          </w:p>
        </w:tc>
      </w:tr>
      <w:tr w:rsidR="00577F1F" w14:paraId="26976752" w14:textId="77777777">
        <w:tc>
          <w:tcPr>
            <w:tcW w:w="1417" w:type="dxa"/>
            <w:shd w:val="clear" w:color="auto" w:fill="FFFFFF" w:themeFill="background1"/>
          </w:tcPr>
          <w:p w14:paraId="00630083" w14:textId="77777777" w:rsidR="00577F1F" w:rsidRDefault="00EE3EE4">
            <w:pPr>
              <w:spacing w:after="0" w:line="240" w:lineRule="auto"/>
            </w:pPr>
            <w:r>
              <w:t>V. Compliance</w:t>
            </w:r>
          </w:p>
        </w:tc>
        <w:tc>
          <w:tcPr>
            <w:tcW w:w="3047" w:type="dxa"/>
            <w:shd w:val="clear" w:color="auto" w:fill="FFFFFF" w:themeFill="background1"/>
          </w:tcPr>
          <w:p w14:paraId="7117427B" w14:textId="77777777" w:rsidR="00577F1F" w:rsidRDefault="00EE3EE4">
            <w:pPr>
              <w:spacing w:after="0" w:line="240" w:lineRule="auto"/>
            </w:pPr>
            <w:r>
              <w:t>V.A.1 – Apply policies and procedures to ensure organizational compliance with regulations and standards (3)</w:t>
            </w:r>
          </w:p>
        </w:tc>
        <w:tc>
          <w:tcPr>
            <w:tcW w:w="2679" w:type="dxa"/>
            <w:shd w:val="clear" w:color="auto" w:fill="FFFFFF" w:themeFill="background1"/>
          </w:tcPr>
          <w:p w14:paraId="245E5EED" w14:textId="705E7017" w:rsidR="00577F1F" w:rsidRDefault="00EE3EE4">
            <w:pPr>
              <w:spacing w:after="0" w:line="240" w:lineRule="auto"/>
            </w:pPr>
            <w:r>
              <w:t xml:space="preserve">Student will verify </w:t>
            </w:r>
            <w:r w:rsidR="00D54381">
              <w:t xml:space="preserve">if </w:t>
            </w:r>
            <w:r>
              <w:t xml:space="preserve">a regulation standard is included in a policy and procedure </w:t>
            </w:r>
          </w:p>
        </w:tc>
        <w:tc>
          <w:tcPr>
            <w:tcW w:w="3044" w:type="dxa"/>
            <w:shd w:val="clear" w:color="auto" w:fill="FFFFFF" w:themeFill="background1"/>
          </w:tcPr>
          <w:p w14:paraId="536C5DB9" w14:textId="77777777" w:rsidR="00577F1F" w:rsidRDefault="00EE3EE4">
            <w:pPr>
              <w:pStyle w:val="ListParagraph"/>
              <w:numPr>
                <w:ilvl w:val="0"/>
                <w:numId w:val="1"/>
              </w:numPr>
              <w:spacing w:after="0" w:line="240" w:lineRule="auto"/>
              <w:ind w:left="236" w:hanging="180"/>
            </w:pPr>
            <w:r>
              <w:t xml:space="preserve">Students will indicate what is missing from a policy and procedure of an HIM dept.  with 85% accuracy, in relation to a standard of The Joint Commission </w:t>
            </w:r>
          </w:p>
          <w:p w14:paraId="7F5461D0" w14:textId="4C7B7101" w:rsidR="00577F1F" w:rsidRDefault="00EE3EE4">
            <w:pPr>
              <w:pStyle w:val="ListParagraph"/>
              <w:numPr>
                <w:ilvl w:val="0"/>
                <w:numId w:val="1"/>
              </w:numPr>
              <w:spacing w:after="0" w:line="240" w:lineRule="auto"/>
              <w:ind w:left="236" w:hanging="180"/>
            </w:pPr>
            <w:r>
              <w:t xml:space="preserve">Test question:  Essay- Explain what could happen if an organization does not have </w:t>
            </w:r>
            <w:r w:rsidR="003274D0">
              <w:t xml:space="preserve">a </w:t>
            </w:r>
            <w:bookmarkStart w:id="0" w:name="_GoBack"/>
            <w:bookmarkEnd w:id="0"/>
            <w:r>
              <w:t>compliance plan in place?</w:t>
            </w:r>
          </w:p>
        </w:tc>
        <w:tc>
          <w:tcPr>
            <w:tcW w:w="2188" w:type="dxa"/>
            <w:shd w:val="clear" w:color="auto" w:fill="FFFFFF" w:themeFill="background1"/>
          </w:tcPr>
          <w:p w14:paraId="63396012" w14:textId="77777777" w:rsidR="00577F1F" w:rsidRDefault="00577F1F">
            <w:pPr>
              <w:spacing w:after="0" w:line="240" w:lineRule="auto"/>
            </w:pPr>
          </w:p>
        </w:tc>
        <w:tc>
          <w:tcPr>
            <w:tcW w:w="2527" w:type="dxa"/>
            <w:shd w:val="clear" w:color="auto" w:fill="FFFFFF" w:themeFill="background1"/>
          </w:tcPr>
          <w:p w14:paraId="2B2787F4" w14:textId="77777777" w:rsidR="00577F1F" w:rsidRDefault="00577F1F">
            <w:pPr>
              <w:spacing w:after="0" w:line="240" w:lineRule="auto"/>
            </w:pPr>
          </w:p>
        </w:tc>
      </w:tr>
    </w:tbl>
    <w:p w14:paraId="0616C3E3" w14:textId="77777777" w:rsidR="00577F1F" w:rsidRDefault="00577F1F">
      <w:pPr>
        <w:spacing w:after="0" w:line="240" w:lineRule="auto"/>
      </w:pPr>
    </w:p>
    <w:sectPr w:rsidR="00577F1F" w:rsidSect="00D54381">
      <w:footerReference w:type="default" r:id="rId12"/>
      <w:pgSz w:w="15840" w:h="12240" w:orient="landscape" w:code="1"/>
      <w:pgMar w:top="720" w:right="576" w:bottom="576" w:left="576" w:header="0" w:footer="28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D660" w14:textId="77777777" w:rsidR="005C06C6" w:rsidRDefault="005C06C6">
      <w:pPr>
        <w:spacing w:after="0" w:line="240" w:lineRule="auto"/>
      </w:pPr>
      <w:r>
        <w:separator/>
      </w:r>
    </w:p>
  </w:endnote>
  <w:endnote w:type="continuationSeparator" w:id="0">
    <w:p w14:paraId="347FF84B" w14:textId="77777777" w:rsidR="005C06C6" w:rsidRDefault="005C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05316"/>
      <w:docPartObj>
        <w:docPartGallery w:val="Page Numbers (Bottom of Page)"/>
        <w:docPartUnique/>
      </w:docPartObj>
    </w:sdtPr>
    <w:sdtEndPr/>
    <w:sdtContent>
      <w:p w14:paraId="0CA9765F" w14:textId="6573759D" w:rsidR="00492183" w:rsidRDefault="00C85794">
        <w:pPr>
          <w:pStyle w:val="Footer"/>
          <w:jc w:val="right"/>
        </w:pPr>
        <w:r w:rsidRPr="00D54381">
          <w:rPr>
            <w:i/>
            <w:iCs/>
          </w:rPr>
          <w:t>PCAP 2014 Self-Assessment</w:t>
        </w:r>
        <w:r w:rsidR="00EE3EE4">
          <w:t xml:space="preserve">        Page </w:t>
        </w:r>
        <w:r w:rsidR="00EE3EE4">
          <w:fldChar w:fldCharType="begin"/>
        </w:r>
        <w:r w:rsidR="00EE3EE4">
          <w:instrText>PAGE</w:instrText>
        </w:r>
        <w:r w:rsidR="00EE3EE4">
          <w:fldChar w:fldCharType="separate"/>
        </w:r>
        <w:r w:rsidR="00EE3EE4">
          <w:t>4</w:t>
        </w:r>
        <w:r w:rsidR="00EE3EE4">
          <w:fldChar w:fldCharType="end"/>
        </w:r>
      </w:p>
      <w:p w14:paraId="0AB0A200" w14:textId="3F2C6EDF" w:rsidR="00577F1F" w:rsidRDefault="00693ACF" w:rsidP="00727577">
        <w:pPr>
          <w:pStyle w:val="Footer"/>
        </w:pPr>
        <w:r>
          <w:tab/>
        </w:r>
        <w:r>
          <w:tab/>
        </w:r>
        <w:r>
          <w:tab/>
        </w:r>
        <w:r>
          <w:tab/>
        </w:r>
        <w:r>
          <w:tab/>
        </w:r>
        <w:r>
          <w:tab/>
        </w:r>
        <w:r w:rsidRPr="00727577">
          <w:rPr>
            <w:i/>
            <w:iCs/>
          </w:rPr>
          <w:t xml:space="preserve">  </w:t>
        </w:r>
        <w:r w:rsidR="00CD1C84" w:rsidRPr="00727577">
          <w:rPr>
            <w:i/>
            <w:iCs/>
          </w:rPr>
          <w:t xml:space="preserve">AHIMA </w:t>
        </w:r>
        <w:r w:rsidR="00492183" w:rsidRPr="00727577">
          <w:rPr>
            <w:i/>
            <w:iCs/>
          </w:rPr>
          <w:t>© 2020</w:t>
        </w:r>
        <w:r w:rsidR="00492183">
          <w:t xml:space="preserve">    </w:t>
        </w:r>
      </w:p>
    </w:sdtContent>
  </w:sdt>
  <w:p w14:paraId="354381DD" w14:textId="77777777" w:rsidR="00577F1F" w:rsidRDefault="00577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B9E7" w14:textId="77777777" w:rsidR="005C06C6" w:rsidRDefault="005C06C6">
      <w:pPr>
        <w:spacing w:after="0" w:line="240" w:lineRule="auto"/>
      </w:pPr>
      <w:r>
        <w:separator/>
      </w:r>
    </w:p>
  </w:footnote>
  <w:footnote w:type="continuationSeparator" w:id="0">
    <w:p w14:paraId="1F055288" w14:textId="77777777" w:rsidR="005C06C6" w:rsidRDefault="005C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52770"/>
    <w:multiLevelType w:val="multilevel"/>
    <w:tmpl w:val="7E0AA2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DA04287"/>
    <w:multiLevelType w:val="multilevel"/>
    <w:tmpl w:val="E3DCF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1F"/>
    <w:rsid w:val="00085DE5"/>
    <w:rsid w:val="00163109"/>
    <w:rsid w:val="00183134"/>
    <w:rsid w:val="001E3A50"/>
    <w:rsid w:val="003274D0"/>
    <w:rsid w:val="003A407B"/>
    <w:rsid w:val="00492183"/>
    <w:rsid w:val="00577F1F"/>
    <w:rsid w:val="005854A1"/>
    <w:rsid w:val="005C06C6"/>
    <w:rsid w:val="00624B12"/>
    <w:rsid w:val="00693ACF"/>
    <w:rsid w:val="00727577"/>
    <w:rsid w:val="007316C8"/>
    <w:rsid w:val="007346FB"/>
    <w:rsid w:val="00776DC5"/>
    <w:rsid w:val="008047B1"/>
    <w:rsid w:val="0095678B"/>
    <w:rsid w:val="00A5321C"/>
    <w:rsid w:val="00B70CEC"/>
    <w:rsid w:val="00B94EE4"/>
    <w:rsid w:val="00BA775B"/>
    <w:rsid w:val="00C160BD"/>
    <w:rsid w:val="00C1640F"/>
    <w:rsid w:val="00C63A34"/>
    <w:rsid w:val="00C85794"/>
    <w:rsid w:val="00CD1C84"/>
    <w:rsid w:val="00CD6721"/>
    <w:rsid w:val="00D313D6"/>
    <w:rsid w:val="00D54381"/>
    <w:rsid w:val="00D85865"/>
    <w:rsid w:val="00E27FA1"/>
    <w:rsid w:val="00E97B74"/>
    <w:rsid w:val="00EE3EE4"/>
    <w:rsid w:val="00F1354C"/>
    <w:rsid w:val="00F331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3ED9"/>
  <w15:docId w15:val="{929DF34D-28E0-469C-83A6-904F2572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2B6"/>
    <w:pPr>
      <w:spacing w:after="200" w:line="276" w:lineRule="auto"/>
    </w:pPr>
  </w:style>
  <w:style w:type="paragraph" w:styleId="Heading1">
    <w:name w:val="heading 1"/>
    <w:basedOn w:val="Normal"/>
    <w:next w:val="Normal"/>
    <w:link w:val="Heading1Char"/>
    <w:uiPriority w:val="9"/>
    <w:qFormat/>
    <w:rsid w:val="00077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A0F28"/>
  </w:style>
  <w:style w:type="character" w:customStyle="1" w:styleId="FooterChar">
    <w:name w:val="Footer Char"/>
    <w:basedOn w:val="DefaultParagraphFont"/>
    <w:link w:val="Footer"/>
    <w:uiPriority w:val="99"/>
    <w:qFormat/>
    <w:rsid w:val="00BA0F28"/>
  </w:style>
  <w:style w:type="character" w:styleId="CommentReference">
    <w:name w:val="annotation reference"/>
    <w:basedOn w:val="DefaultParagraphFont"/>
    <w:uiPriority w:val="99"/>
    <w:semiHidden/>
    <w:unhideWhenUsed/>
    <w:qFormat/>
    <w:rsid w:val="00BA0F28"/>
    <w:rPr>
      <w:sz w:val="16"/>
      <w:szCs w:val="16"/>
    </w:rPr>
  </w:style>
  <w:style w:type="character" w:customStyle="1" w:styleId="CommentTextChar">
    <w:name w:val="Comment Text Char"/>
    <w:basedOn w:val="DefaultParagraphFont"/>
    <w:link w:val="CommentText"/>
    <w:uiPriority w:val="99"/>
    <w:qFormat/>
    <w:rsid w:val="00BA0F28"/>
    <w:rPr>
      <w:sz w:val="20"/>
      <w:szCs w:val="20"/>
    </w:rPr>
  </w:style>
  <w:style w:type="character" w:customStyle="1" w:styleId="CommentSubjectChar">
    <w:name w:val="Comment Subject Char"/>
    <w:basedOn w:val="CommentTextChar"/>
    <w:link w:val="CommentSubject"/>
    <w:uiPriority w:val="99"/>
    <w:semiHidden/>
    <w:qFormat/>
    <w:rsid w:val="00BA0F28"/>
    <w:rPr>
      <w:b/>
      <w:bCs/>
      <w:sz w:val="20"/>
      <w:szCs w:val="20"/>
    </w:rPr>
  </w:style>
  <w:style w:type="character" w:customStyle="1" w:styleId="BalloonTextChar">
    <w:name w:val="Balloon Text Char"/>
    <w:basedOn w:val="DefaultParagraphFont"/>
    <w:link w:val="BalloonText"/>
    <w:uiPriority w:val="99"/>
    <w:semiHidden/>
    <w:qFormat/>
    <w:rsid w:val="00BA0F28"/>
    <w:rPr>
      <w:rFonts w:ascii="Tahoma" w:hAnsi="Tahoma" w:cs="Tahoma"/>
      <w:sz w:val="16"/>
      <w:szCs w:val="16"/>
    </w:rPr>
  </w:style>
  <w:style w:type="character" w:customStyle="1" w:styleId="InternetLink">
    <w:name w:val="Internet Link"/>
    <w:basedOn w:val="DefaultParagraphFont"/>
    <w:uiPriority w:val="99"/>
    <w:semiHidden/>
    <w:unhideWhenUsed/>
    <w:rsid w:val="00A25821"/>
    <w:rPr>
      <w:color w:val="0000FF" w:themeColor="hyperlink"/>
      <w:u w:val="single"/>
    </w:rPr>
  </w:style>
  <w:style w:type="character" w:customStyle="1" w:styleId="TitleChar">
    <w:name w:val="Title Char"/>
    <w:basedOn w:val="DefaultParagraphFont"/>
    <w:link w:val="Title"/>
    <w:uiPriority w:val="10"/>
    <w:qFormat/>
    <w:rsid w:val="00E17C66"/>
    <w:rPr>
      <w:rFonts w:asciiTheme="majorHAnsi" w:eastAsiaTheme="majorEastAsia" w:hAnsiTheme="majorHAnsi" w:cstheme="majorBidi"/>
      <w:color w:val="17365D" w:themeColor="text2" w:themeShade="BF"/>
      <w:spacing w:val="5"/>
      <w:kern w:val="2"/>
      <w:sz w:val="52"/>
      <w:szCs w:val="52"/>
    </w:rPr>
  </w:style>
  <w:style w:type="character" w:styleId="FollowedHyperlink">
    <w:name w:val="FollowedHyperlink"/>
    <w:basedOn w:val="DefaultParagraphFont"/>
    <w:uiPriority w:val="99"/>
    <w:semiHidden/>
    <w:unhideWhenUsed/>
    <w:qFormat/>
    <w:rsid w:val="00E17C66"/>
    <w:rPr>
      <w:color w:val="800080" w:themeColor="followedHyperlink"/>
      <w:u w:val="single"/>
    </w:rPr>
  </w:style>
  <w:style w:type="character" w:customStyle="1" w:styleId="Heading2Char">
    <w:name w:val="Heading 2 Char"/>
    <w:basedOn w:val="DefaultParagraphFont"/>
    <w:link w:val="Heading2"/>
    <w:uiPriority w:val="9"/>
    <w:qFormat/>
    <w:rsid w:val="008C3AB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qFormat/>
    <w:rsid w:val="00077AAC"/>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E3E3C"/>
    <w:pPr>
      <w:ind w:left="720"/>
      <w:contextualSpacing/>
    </w:pPr>
  </w:style>
  <w:style w:type="paragraph" w:customStyle="1" w:styleId="Default">
    <w:name w:val="Default"/>
    <w:qFormat/>
    <w:rsid w:val="00023D38"/>
    <w:rPr>
      <w:rFonts w:ascii="Arial" w:eastAsia="Calibri" w:hAnsi="Arial" w:cs="Arial"/>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A0F28"/>
    <w:pPr>
      <w:tabs>
        <w:tab w:val="center" w:pos="4680"/>
        <w:tab w:val="right" w:pos="9360"/>
      </w:tabs>
      <w:spacing w:after="0" w:line="240" w:lineRule="auto"/>
    </w:pPr>
  </w:style>
  <w:style w:type="paragraph" w:styleId="Footer">
    <w:name w:val="footer"/>
    <w:basedOn w:val="Normal"/>
    <w:link w:val="FooterChar"/>
    <w:uiPriority w:val="99"/>
    <w:unhideWhenUsed/>
    <w:rsid w:val="00BA0F28"/>
    <w:pPr>
      <w:tabs>
        <w:tab w:val="center" w:pos="4680"/>
        <w:tab w:val="right" w:pos="9360"/>
      </w:tabs>
      <w:spacing w:after="0" w:line="240" w:lineRule="auto"/>
    </w:pPr>
  </w:style>
  <w:style w:type="paragraph" w:styleId="CommentText">
    <w:name w:val="annotation text"/>
    <w:basedOn w:val="Normal"/>
    <w:link w:val="CommentTextChar"/>
    <w:uiPriority w:val="99"/>
    <w:unhideWhenUsed/>
    <w:qFormat/>
    <w:rsid w:val="00BA0F2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A0F28"/>
    <w:rPr>
      <w:b/>
      <w:bCs/>
    </w:rPr>
  </w:style>
  <w:style w:type="paragraph" w:styleId="BalloonText">
    <w:name w:val="Balloon Text"/>
    <w:basedOn w:val="Normal"/>
    <w:link w:val="BalloonTextChar"/>
    <w:uiPriority w:val="99"/>
    <w:semiHidden/>
    <w:unhideWhenUsed/>
    <w:qFormat/>
    <w:rsid w:val="00BA0F28"/>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E17C6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NormalWeb">
    <w:name w:val="Normal (Web)"/>
    <w:basedOn w:val="Normal"/>
    <w:uiPriority w:val="99"/>
    <w:unhideWhenUsed/>
    <w:qFormat/>
    <w:rsid w:val="008C3ABB"/>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7AAC"/>
  </w:style>
  <w:style w:type="table" w:styleId="TableGrid">
    <w:name w:val="Table Grid"/>
    <w:basedOn w:val="TableNormal"/>
    <w:uiPriority w:val="59"/>
    <w:rsid w:val="007E5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u.edu/teaching/assessment/howto/basics/objectives.htm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B408628C93F4AB3349333204249E5" ma:contentTypeVersion="10" ma:contentTypeDescription="Create a new document." ma:contentTypeScope="" ma:versionID="730d9200075f451d96eb8265dd687a8d">
  <xsd:schema xmlns:xsd="http://www.w3.org/2001/XMLSchema" xmlns:xs="http://www.w3.org/2001/XMLSchema" xmlns:p="http://schemas.microsoft.com/office/2006/metadata/properties" xmlns:ns3="cd26764b-58be-4fe8-b6b2-fcc6b72380cd" targetNamespace="http://schemas.microsoft.com/office/2006/metadata/properties" ma:root="true" ma:fieldsID="93b8075c13ba15870a093c99055b7284" ns3:_="">
    <xsd:import namespace="cd26764b-58be-4fe8-b6b2-fcc6b72380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764b-58be-4fe8-b6b2-fcc6b723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02BF1-FA94-45E1-AEF3-2844A6476530}">
  <ds:schemaRefs>
    <ds:schemaRef ds:uri="http://schemas.microsoft.com/sharepoint/v3/contenttype/forms"/>
  </ds:schemaRefs>
</ds:datastoreItem>
</file>

<file path=customXml/itemProps2.xml><?xml version="1.0" encoding="utf-8"?>
<ds:datastoreItem xmlns:ds="http://schemas.openxmlformats.org/officeDocument/2006/customXml" ds:itemID="{A4A0A8D8-F700-44A0-AE72-9A8988E2C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9F075-0243-47BC-ACFA-137C3488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6764b-58be-4fe8-b6b2-fcc6b723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John Richey</cp:lastModifiedBy>
  <cp:revision>32</cp:revision>
  <dcterms:created xsi:type="dcterms:W3CDTF">2020-05-23T18:27:00Z</dcterms:created>
  <dcterms:modified xsi:type="dcterms:W3CDTF">2020-05-23T18:48:00Z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AHIMA</vt:lpwstr>
  </property>
  <property fmtid="{D5CDD505-2E9C-101B-9397-08002B2CF9AE}" pid="4" name="ContentTypeId">
    <vt:lpwstr>0x010100F9BB408628C93F4AB3349333204249E5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